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BERT MAHONEY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 berchman@berchman.com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twitter @berchman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mobile 805.798.3430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OVERVIEW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 year design industry veteran with a unique combination of experience as a creative director, designer, marketer, and technologist.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have worked as Founder and Chief Creative Officer for three web agencies and I have held staff positions with three non-profits. I have been a production artist, designer, and art director. I have experience leading teams of designers and mentoring junior designers. I have a deep background in all facets of design work involving strategy, design, production for both Internet and print projects.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EXPERIENCE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Director / Berchman.com / January 2009 - Present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provide website development and website design to clients worldwide. Primary focus is on user experience, user interface, and information design.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Cofounder, Chief Creative Officer / Dennison+Wolfe / January 2009 - December 2011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Developed vertical website networks using WordPress within specific industries; Non-Profits, Law Firms, Restaurants, etc. Creative direction, design, and production for all Dennison+Wolfe branding.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President / HamiltonBerchman Design Group, Inc. / June 2005 - January 2009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Founded HamiltonBerchman Design Group focusing on small business communications. Design and production for both web and print projects for clients within many different vertical markets.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Director of Communications / The Thacher School / February 1999 - June 2005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 direction and design of all institutional communications both print and web based: monthly magazine, website, and all periodic communications. Creative Director for The Campaign for Thacher, the school’s $80 million dollar Capital Campaign. Faculty Advisor to the student yearbook, El Archivero.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and Production Manager, Web Developer / JDA, Inc. / May 1996 - February 1999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Information Technology Manager, Production Manager, Primary Web Developer. Managed 10 workstations and file servers, managed and produced all digital archives. Designed and developed all client websites. Developed pre-press standards and processes sought by commercial printers for their high level of excellence to distribute to their clients.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 Director / On the Boulevard Publishing / September 1994 - May 1996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 directed four monthly publications totaling over 120 pages of monthly design and production for editorial and advertising. Managed art department staff. Managed all computer systems for art department.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Freelance Graphic Designer / J.R. Navarro &amp; Associates / May 1994 – August 1994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Designed and produced corporate print collateral and advertising from concept to camera-ready artwork for wide range of clients in the automotive, entertainment, and customer service industry.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Advertising Artist / Albany Times Union, Hearst Corporation / June 1992 – May 1994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Design and advertising services for clients of 40 sales representatives across a wide range of industries.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Advertising Artist / The Record, Troy Publishing Company / December 1991 – June 1992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Design and illustration services for advertising and special-section tabloid covers.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AWARDS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American Web Design Awards 2012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My work for Access Communications website received a design award from Graphic Design USA.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Fine Arts Library Collection Award : Stevens-German Library : Hartwick College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My painting was selected from annual student art exhibition by faculty jury for placement into Hartwick’s permanent art collection.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EDUCATION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Bachelor of Science Degree : Information Science : Hartwick College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Bachelor of Arts Degree : Fine Arts : Hartwick College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PROFESSIONAL MEMBERSHIPS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AIGA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Founding member of AIGA Santa Barbara chapter. American Institute of Graphic Arts, the professional association for design.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