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rFonts w:ascii="Atkinson Hyperlegible" w:cs="Atkinson Hyperlegible" w:eastAsia="Atkinson Hyperlegible" w:hAnsi="Atkinson Hyperlegible"/>
        </w:rPr>
      </w:pP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12/31/2025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Atkinson Hyperlegible" w:cs="Atkinson Hyperlegible" w:eastAsia="Atkinson Hyperlegible" w:hAnsi="Atkinson Hyperlegible"/>
        </w:rPr>
      </w:pP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Dear Hiring Committee,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Atkinson Hyperlegible" w:cs="Atkinson Hyperlegible" w:eastAsia="Atkinson Hyperlegible" w:hAnsi="Atkinson Hyperlegible"/>
        </w:rPr>
      </w:pP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I am writing to apply for the </w:t>
      </w:r>
      <w:r w:rsidDel="00000000" w:rsidR="00000000" w:rsidRPr="00000000">
        <w:rPr>
          <w:rFonts w:ascii="Atkinson Hyperlegible" w:cs="Atkinson Hyperlegible" w:eastAsia="Atkinson Hyperlegible" w:hAnsi="Atkinson Hyperlegible"/>
          <w:b w:val="1"/>
          <w:bCs w:val="1"/>
          <w:rtl w:val="0"/>
        </w:rPr>
        <w:t xml:space="preserve">Technology Analyst 2 (Human-Centered Design)</w:t>
      </w: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 position. 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Atkinson Hyperlegible" w:cs="Atkinson Hyperlegible" w:eastAsia="Atkinson Hyperlegible" w:hAnsi="Atkinson Hyperlegible"/>
        </w:rPr>
      </w:pP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My experience spans across designing, implementing &amp; modernizing human-centered systems.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Atkinson Hyperlegible" w:cs="Atkinson Hyperlegible" w:eastAsia="Atkinson Hyperlegible" w:hAnsi="Atkinson Hyperlegible"/>
        </w:rPr>
      </w:pP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I focus on usability + accessibility, and have worked within regulated, security-conscious environments. My collaboration experience across business, engineering, and operational teams has been invaluable in translating complexity across disciplines.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Atkinson Hyperlegible" w:cs="Atkinson Hyperlegible" w:eastAsia="Atkinson Hyperlegible" w:hAnsi="Atkinson Hyperlegible"/>
        </w:rPr>
      </w:pPr>
      <w:r w:rsidDel="00000000" w:rsidR="00000000" w:rsidRPr="00000000">
        <w:rPr>
          <w:rFonts w:ascii="Atkinson Hyperlegible" w:cs="Atkinson Hyperlegible" w:eastAsia="Atkinson Hyperlegible" w:hAnsi="Atkinson Hyperlegible"/>
          <w:b w:val="1"/>
          <w:bCs w:val="1"/>
          <w:rtl w:val="0"/>
        </w:rPr>
        <w:t xml:space="preserve">I have deep hands-on technical fluency with user-centered design skills.</w:t>
      </w: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 </w:t>
        <w:br w:type="textWrapping"/>
        <w:t xml:space="preserve">I’ve designed and hand-coded: HTML, CSS, JavaScript, PHP, Python, and worked with APIs, and authentication protocols. I have invaluable experience with NDAs, HIPAA, and legal-constraints, where careful attention to data exposure, interface behavior, and security is essential. 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Atkinson Hyperlegible" w:cs="Atkinson Hyperlegible" w:eastAsia="Atkinson Hyperlegible" w:hAnsi="Atkinson Hyperlegible"/>
        </w:rPr>
      </w:pP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I fit best as a senior design and technical resource; guiding teams through complex problems, establishing standards, and supporting less-experienced colleagues with coaching when needed. </w:t>
      </w:r>
    </w:p>
    <w:p w:rsidR="00000000" w:rsidDel="00000000" w:rsidP="00000000" w:rsidRDefault="00000000" w:rsidRPr="00000000" w14:paraId="00000008">
      <w:pPr>
        <w:widowControl w:val="0"/>
        <w:rPr>
          <w:rFonts w:ascii="Atkinson Hyperlegible" w:cs="Atkinson Hyperlegible" w:eastAsia="Atkinson Hyperlegible" w:hAnsi="Atkinson Hyperlegible"/>
        </w:rPr>
      </w:pP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My experience coaching competitive championship teams have refined my skills to quickly build rapport, manage diverse personalities, and effectively communicate complexity. Skills that translate directly to guiding and supporting colleagues.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Atkinson Hyperlegible" w:cs="Atkinson Hyperlegible" w:eastAsia="Atkinson Hyperlegible" w:hAnsi="Atkinson Hyperlegible"/>
        </w:rPr>
      </w:pP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I am often relied upon as a “</w:t>
      </w:r>
      <w:r w:rsidDel="00000000" w:rsidR="00000000" w:rsidRPr="00000000">
        <w:rPr>
          <w:rFonts w:ascii="Atkinson Hyperlegible" w:cs="Atkinson Hyperlegible" w:eastAsia="Atkinson Hyperlegible" w:hAnsi="Atkinson Hyperlegible"/>
          <w:i w:val="1"/>
          <w:iCs w:val="1"/>
          <w:rtl w:val="0"/>
        </w:rPr>
        <w:t xml:space="preserve">translator</w:t>
      </w: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” — someone who can make technical and organizational goals understandable to a wide range of audiences without speaking down or oversimplifying.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Atkinson Hyperlegible" w:cs="Atkinson Hyperlegible" w:eastAsia="Atkinson Hyperlegible" w:hAnsi="Atkinson Hyperlegible"/>
        </w:rPr>
      </w:pP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I am drawn to this role because it integrates human-centered design, system-level thinking, and collaboration across technical and non-technical disciplines. </w:t>
      </w:r>
    </w:p>
    <w:p w:rsidR="00000000" w:rsidDel="00000000" w:rsidP="00000000" w:rsidRDefault="00000000" w:rsidRPr="00000000" w14:paraId="0000000B">
      <w:pPr>
        <w:widowControl w:val="0"/>
        <w:rPr>
          <w:rFonts w:ascii="Atkinson Hyperlegible" w:cs="Atkinson Hyperlegible" w:eastAsia="Atkinson Hyperlegible" w:hAnsi="Atkinson Hyperlegible"/>
        </w:rPr>
      </w:pP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Let’s talk about the fit between my technical-fluency, and user-centered design skills—and how they overlap the requirements </w:t>
      </w:r>
      <w:r w:rsidDel="00000000" w:rsidR="00000000" w:rsidRPr="00000000">
        <w:rPr>
          <w:rFonts w:ascii="Atkinson Hyperlegible" w:cs="Atkinson Hyperlegible" w:eastAsia="Atkinson Hyperlegible" w:hAnsi="Atkinson Hyperlegible"/>
          <w:b w:val="1"/>
          <w:bCs w:val="1"/>
          <w:rtl w:val="0"/>
        </w:rPr>
        <w:t xml:space="preserve">Technology Analyst 2 </w:t>
      </w: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role</w:t>
      </w: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. </w:t>
        <w:br w:type="textWrapping"/>
        <w:br w:type="textWrapping"/>
      </w: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I look forward to hearing from you.</w:t>
      </w: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 Thanks for your time and consideration. </w:t>
        <w:br w:type="textWrapping"/>
        <w:t xml:space="preserve">Happy New Year!</w:t>
      </w:r>
    </w:p>
    <w:p w:rsidR="00000000" w:rsidDel="00000000" w:rsidP="00000000" w:rsidRDefault="00000000" w:rsidRPr="00000000" w14:paraId="0000000C">
      <w:pPr>
        <w:widowControl w:val="0"/>
        <w:rPr>
          <w:rFonts w:ascii="Atkinson Hyperlegible" w:cs="Atkinson Hyperlegible" w:eastAsia="Atkinson Hyperlegible" w:hAnsi="Atkinson Hyperlegib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rPr>
          <w:rFonts w:ascii="Atkinson Hyperlegible" w:cs="Atkinson Hyperlegible" w:eastAsia="Atkinson Hyperlegible" w:hAnsi="Atkinson Hyperlegible"/>
          <w:sz w:val="20"/>
          <w:szCs w:val="20"/>
        </w:rPr>
      </w:pP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Best regards,</w:t>
        <w:br w:type="textWrapping"/>
      </w: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Bert Mahoney</w:t>
      </w:r>
      <w:r w:rsidDel="00000000" w:rsidR="00000000" w:rsidRPr="00000000">
        <w:rPr>
          <w:rFonts w:ascii="Atkinson Hyperlegible" w:cs="Atkinson Hyperlegible" w:eastAsia="Atkinson Hyperlegible" w:hAnsi="Atkinson Hyperlegible"/>
          <w:b w:val="1"/>
          <w:bCs w:val="1"/>
          <w:rtl w:val="0"/>
        </w:rPr>
        <w:br w:type="textWrapping"/>
      </w: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t xml:space="preserve">________________________</w:t>
        <w:br w:type="textWrapping"/>
      </w:r>
      <w:r w:rsidDel="00000000" w:rsidR="00000000" w:rsidRPr="00000000">
        <w:rPr>
          <w:rFonts w:ascii="Atkinson Hyperlegible" w:cs="Atkinson Hyperlegible" w:eastAsia="Atkinson Hyperlegible" w:hAnsi="Atkinson Hyperlegible"/>
          <w:sz w:val="20"/>
          <w:szCs w:val="20"/>
          <w:rtl w:val="0"/>
        </w:rPr>
        <w:t xml:space="preserve">Bert Mahoney</w:t>
      </w:r>
      <w:r w:rsidDel="00000000" w:rsidR="00000000" w:rsidRPr="00000000">
        <w:rPr>
          <w:rFonts w:ascii="Atkinson Hyperlegible" w:cs="Atkinson Hyperlegible" w:eastAsia="Atkinson Hyperlegible" w:hAnsi="Atkinson Hyperlegible"/>
          <w:rtl w:val="0"/>
        </w:rPr>
        <w:br w:type="textWrapping"/>
      </w:r>
      <w:hyperlink r:id="rId6">
        <w:r w:rsidDel="00000000" w:rsidR="00000000" w:rsidRPr="00000000">
          <w:rPr>
            <w:rFonts w:ascii="Atkinson Hyperlegible" w:cs="Atkinson Hyperlegible" w:eastAsia="Atkinson Hyperlegible" w:hAnsi="Atkinson Hyperlegible"/>
            <w:color w:val="1155cc"/>
            <w:sz w:val="20"/>
            <w:szCs w:val="20"/>
            <w:u w:val="single"/>
            <w:rtl w:val="0"/>
          </w:rPr>
          <w:t xml:space="preserve">hello@bertmahoney.com</w:t>
        </w:r>
      </w:hyperlink>
      <w:r w:rsidDel="00000000" w:rsidR="00000000" w:rsidRPr="00000000">
        <w:rPr>
          <w:rtl w:val="0"/>
        </w:rPr>
        <w:br w:type="textWrapping"/>
      </w:r>
      <w:hyperlink r:id="rId7">
        <w:r w:rsidDel="00000000" w:rsidR="00000000" w:rsidRPr="00000000">
          <w:rPr>
            <w:rFonts w:ascii="Atkinson Hyperlegible" w:cs="Atkinson Hyperlegible" w:eastAsia="Atkinson Hyperlegible" w:hAnsi="Atkinson Hyperlegible"/>
            <w:color w:val="1155cc"/>
            <w:sz w:val="20"/>
            <w:szCs w:val="20"/>
            <w:u w:val="single"/>
            <w:rtl w:val="0"/>
          </w:rPr>
          <w:t xml:space="preserve">https://bertmahoney.com</w:t>
        </w:r>
      </w:hyperlink>
      <w:r w:rsidDel="00000000" w:rsidR="00000000" w:rsidRPr="00000000">
        <w:rPr>
          <w:rFonts w:ascii="Atkinson Hyperlegible" w:cs="Atkinson Hyperlegible" w:eastAsia="Atkinson Hyperlegible" w:hAnsi="Atkinson Hyperlegible"/>
          <w:sz w:val="20"/>
          <w:szCs w:val="20"/>
          <w:rtl w:val="0"/>
        </w:rPr>
        <w:br w:type="textWrapping"/>
        <w:t xml:space="preserve">1-</w:t>
      </w:r>
      <w:r w:rsidDel="00000000" w:rsidR="00000000" w:rsidRPr="00000000">
        <w:rPr>
          <w:rFonts w:ascii="Atkinson Hyperlegible" w:cs="Atkinson Hyperlegible" w:eastAsia="Atkinson Hyperlegible" w:hAnsi="Atkinson Hyperlegible"/>
          <w:sz w:val="20"/>
          <w:szCs w:val="20"/>
          <w:rtl w:val="0"/>
        </w:rPr>
        <w:t xml:space="preserve">805-225-7061</w:t>
      </w:r>
    </w:p>
    <w:sectPr>
      <w:pgSz w:h="15840" w:w="12240" w:orient="portrait"/>
      <w:pgMar w:bottom="1440" w:top="11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tkinson Hyperlegib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hello@bertmahoney.com" TargetMode="External"/><Relationship Id="rId7" Type="http://schemas.openxmlformats.org/officeDocument/2006/relationships/hyperlink" Target="https://bertmahoney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tkinsonHyperlegible-regular.ttf"/><Relationship Id="rId2" Type="http://schemas.openxmlformats.org/officeDocument/2006/relationships/font" Target="fonts/AtkinsonHyperlegible-bold.ttf"/><Relationship Id="rId3" Type="http://schemas.openxmlformats.org/officeDocument/2006/relationships/font" Target="fonts/AtkinsonHyperlegible-italic.ttf"/><Relationship Id="rId4" Type="http://schemas.openxmlformats.org/officeDocument/2006/relationships/font" Target="fonts/AtkinsonHyperlegibl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